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jc w:val="center"/>
        <w:tblLayout w:type="fixed"/>
        <w:tblCellMar>
          <w:top w:w="100" w:type="dxa"/>
          <w:left w:w="140" w:type="dxa"/>
          <w:bottom w:w="100" w:type="dxa"/>
          <w:right w:w="140" w:type="dxa"/>
        </w:tblCellMar>
        <w:tblLook w:val="04A0" w:firstRow="1" w:lastRow="0" w:firstColumn="1" w:lastColumn="0" w:noHBand="0" w:noVBand="1"/>
      </w:tblPr>
      <w:tblGrid>
        <w:gridCol w:w="10080"/>
      </w:tblGrid>
      <w:tr w:rsidR="00947369" w14:paraId="430672CB" w14:textId="77777777" w:rsidTr="00297EE5">
        <w:trPr>
          <w:jc w:val="center"/>
        </w:trPr>
        <w:tc>
          <w:tcPr>
            <w:tcW w:w="10080" w:type="dxa"/>
            <w:tcBorders>
              <w:left w:val="single" w:sz="24" w:space="0" w:color="1F4E79"/>
            </w:tcBorders>
            <w:shd w:val="clear" w:color="auto" w:fill="F2F4F8"/>
          </w:tcPr>
          <w:p w14:paraId="048D7D24" w14:textId="77777777" w:rsidR="00947369" w:rsidRDefault="00FD3507">
            <w:pPr>
              <w:spacing w:before="40" w:after="40"/>
            </w:pPr>
            <w:r>
              <w:rPr>
                <w:b/>
                <w:color w:val="1F4E79"/>
              </w:rPr>
              <w:t xml:space="preserve">BLUF: </w:t>
            </w:r>
            <w:r>
              <w:t xml:space="preserve">The 2022 NMS executes NDS priorities. Its theory of success is </w:t>
            </w:r>
            <w:r>
              <w:rPr>
                <w:b/>
              </w:rPr>
              <w:t>Strategic Discipline</w:t>
            </w:r>
            <w:r>
              <w:t xml:space="preserve">: ruthlessly calibrating effort between </w:t>
            </w:r>
            <w:r>
              <w:rPr>
                <w:b/>
              </w:rPr>
              <w:t>Campaigning</w:t>
            </w:r>
            <w:r>
              <w:t xml:space="preserve"> (deterring now) and </w:t>
            </w:r>
            <w:r>
              <w:rPr>
                <w:b/>
              </w:rPr>
              <w:t>Building Warfighting Advantage</w:t>
            </w:r>
            <w:r>
              <w:t xml:space="preserve"> (reducing future risk). It is a call to: </w:t>
            </w:r>
            <w:r>
              <w:rPr>
                <w:b/>
                <w:color w:val="1F4E79"/>
              </w:rPr>
              <w:t xml:space="preserve">“Adapt </w:t>
            </w:r>
            <w:proofErr w:type="gramStart"/>
            <w:r>
              <w:rPr>
                <w:b/>
                <w:color w:val="1F4E79"/>
              </w:rPr>
              <w:t>Now, or</w:t>
            </w:r>
            <w:proofErr w:type="gramEnd"/>
            <w:r>
              <w:rPr>
                <w:b/>
                <w:color w:val="1F4E79"/>
              </w:rPr>
              <w:t xml:space="preserve"> Lose Later.”</w:t>
            </w:r>
          </w:p>
        </w:tc>
      </w:tr>
    </w:tbl>
    <w:p w14:paraId="696EAFBC" w14:textId="77777777" w:rsidR="00947369" w:rsidRDefault="00FD3507">
      <w:pPr>
        <w:pStyle w:val="Heading1"/>
      </w:pPr>
      <w:r>
        <w:t>I. The Inflection Point</w:t>
      </w:r>
    </w:p>
    <w:p w14:paraId="56589EE8" w14:textId="77777777" w:rsidR="00947369" w:rsidRDefault="00FD3507">
      <w:pPr>
        <w:spacing w:after="60"/>
      </w:pPr>
      <w:r>
        <w:t>For the first time, the U.S. faces two major nuclear powers simultaneously:</w:t>
      </w:r>
    </w:p>
    <w:p w14:paraId="20D4FB6E" w14:textId="77777777" w:rsidR="00947369" w:rsidRDefault="00FD3507">
      <w:pPr>
        <w:pStyle w:val="ListBullet"/>
        <w:spacing w:after="40"/>
      </w:pPr>
      <w:r>
        <w:rPr>
          <w:b/>
        </w:rPr>
        <w:t xml:space="preserve">Pacing Challenge (China/PRC): </w:t>
      </w:r>
      <w:r>
        <w:t>Primary strategic competitor modernizing its military to reshape the global order.</w:t>
      </w:r>
    </w:p>
    <w:p w14:paraId="25BE79F0" w14:textId="77777777" w:rsidR="00947369" w:rsidRDefault="00FD3507">
      <w:pPr>
        <w:pStyle w:val="ListBullet"/>
        <w:spacing w:after="40"/>
      </w:pPr>
      <w:r>
        <w:rPr>
          <w:b/>
        </w:rPr>
        <w:t xml:space="preserve">Acute Threat (Russia): </w:t>
      </w:r>
      <w:r>
        <w:t>Brutal invasion of Ukraine, cyber-attacks, and disinformation.</w:t>
      </w:r>
    </w:p>
    <w:p w14:paraId="1758B0E6" w14:textId="77777777" w:rsidR="00947369" w:rsidRDefault="00FD3507">
      <w:pPr>
        <w:pStyle w:val="ListBullet"/>
      </w:pPr>
      <w:r>
        <w:rPr>
          <w:b/>
        </w:rPr>
        <w:t xml:space="preserve">Persistent Threats: </w:t>
      </w:r>
      <w:r>
        <w:t>North Korea, Iran, and Violent Extremist Organizations (VEOs).</w:t>
      </w:r>
    </w:p>
    <w:p w14:paraId="408730AF" w14:textId="77777777" w:rsidR="00947369" w:rsidRDefault="00FD3507">
      <w:pPr>
        <w:spacing w:before="80" w:after="120"/>
      </w:pPr>
      <w:r>
        <w:rPr>
          <w:b/>
        </w:rPr>
        <w:t xml:space="preserve">Central Military Problem: </w:t>
      </w:r>
      <w:r>
        <w:rPr>
          <w:i/>
        </w:rPr>
        <w:t>How to rapidly develop future advantage while deterring effectively today?</w:t>
      </w:r>
    </w:p>
    <w:p w14:paraId="1D638E35" w14:textId="77777777" w:rsidR="00947369" w:rsidRDefault="00FD3507">
      <w:pPr>
        <w:pStyle w:val="Heading1"/>
      </w:pPr>
      <w:r>
        <w:t>II. Strategic Approach</w:t>
      </w:r>
    </w:p>
    <w:p w14:paraId="0F53388F" w14:textId="77777777" w:rsidR="00947369" w:rsidRDefault="00FD3507">
      <w:pPr>
        <w:pStyle w:val="ListBullet"/>
        <w:spacing w:after="40"/>
      </w:pPr>
      <w:r>
        <w:rPr>
          <w:b/>
        </w:rPr>
        <w:t xml:space="preserve">Integrated Deterrence: </w:t>
      </w:r>
      <w:r>
        <w:t xml:space="preserve">Synchronizes operations across domains, theaters, spectrums of conflict, and alliances. Backstopped by </w:t>
      </w:r>
      <w:proofErr w:type="gramStart"/>
      <w:r>
        <w:t>combat-credible</w:t>
      </w:r>
      <w:proofErr w:type="gramEnd"/>
      <w:r>
        <w:t xml:space="preserve"> forces and a robust nuclear deterrent.</w:t>
      </w:r>
    </w:p>
    <w:p w14:paraId="06AD8D5C" w14:textId="77777777" w:rsidR="00947369" w:rsidRDefault="00FD3507">
      <w:pPr>
        <w:pStyle w:val="ListBullet"/>
        <w:spacing w:after="40"/>
      </w:pPr>
      <w:r>
        <w:rPr>
          <w:b/>
        </w:rPr>
        <w:t xml:space="preserve">Strategic Discipline: </w:t>
      </w:r>
      <w:r>
        <w:t>Continuous calibration of operations, activities, and investments between:</w:t>
      </w:r>
    </w:p>
    <w:p w14:paraId="4B14B9DE" w14:textId="77777777" w:rsidR="00947369" w:rsidRDefault="00FD3507">
      <w:pPr>
        <w:pStyle w:val="ListBullet2"/>
        <w:spacing w:after="20"/>
      </w:pPr>
      <w:r>
        <w:rPr>
          <w:b/>
        </w:rPr>
        <w:t xml:space="preserve">Campaigning: </w:t>
      </w:r>
      <w:r>
        <w:t>Sequencing day-to-day actions to deter, prevail in the “Gray-Zone,” and shape conditions.</w:t>
      </w:r>
    </w:p>
    <w:p w14:paraId="752B635F" w14:textId="77777777" w:rsidR="00947369" w:rsidRDefault="00FD3507">
      <w:pPr>
        <w:pStyle w:val="ListBullet2"/>
        <w:spacing w:after="120"/>
      </w:pPr>
      <w:r>
        <w:rPr>
          <w:b/>
        </w:rPr>
        <w:t xml:space="preserve">Building Warfighting Advantage: </w:t>
      </w:r>
      <w:r>
        <w:t>Investing in leaders, concepts, and capabilities to secure future victory.</w:t>
      </w:r>
    </w:p>
    <w:p w14:paraId="74DA16BD" w14:textId="77777777" w:rsidR="00E86226" w:rsidRDefault="00E86226" w:rsidP="00E86226">
      <w:pPr>
        <w:pStyle w:val="Heading1"/>
      </w:pPr>
      <w:r>
        <w:t>III. Joint Force Strategic Objectives &amp; Supporting Tasks</w:t>
      </w:r>
    </w:p>
    <w:tbl>
      <w:tblPr>
        <w:tblW w:w="0" w:type="auto"/>
        <w:tblBorders>
          <w:top w:val="single" w:sz="4" w:space="0" w:color="D3D3D3"/>
          <w:bottom w:val="single" w:sz="4" w:space="0" w:color="D3D3D3"/>
          <w:insideH w:val="single" w:sz="4" w:space="0" w:color="D3D3D3"/>
        </w:tblBorders>
        <w:tblLayout w:type="fixed"/>
        <w:tblCellMar>
          <w:top w:w="100" w:type="dxa"/>
          <w:left w:w="120" w:type="dxa"/>
          <w:bottom w:w="100" w:type="dxa"/>
          <w:right w:w="120" w:type="dxa"/>
        </w:tblCellMar>
        <w:tblLook w:val="04A0" w:firstRow="1" w:lastRow="0" w:firstColumn="1" w:lastColumn="0" w:noHBand="0" w:noVBand="1"/>
      </w:tblPr>
      <w:tblGrid>
        <w:gridCol w:w="2070"/>
        <w:gridCol w:w="7866"/>
      </w:tblGrid>
      <w:tr w:rsidR="00E86226" w14:paraId="3703E67F" w14:textId="77777777" w:rsidTr="00E86226">
        <w:trPr>
          <w:tblHeader/>
        </w:trPr>
        <w:tc>
          <w:tcPr>
            <w:tcW w:w="2070" w:type="dxa"/>
            <w:shd w:val="clear" w:color="auto" w:fill="1F4E79"/>
          </w:tcPr>
          <w:p w14:paraId="6DA7374F" w14:textId="77777777" w:rsidR="00E86226" w:rsidRDefault="00E86226" w:rsidP="00576BA4">
            <w:pPr>
              <w:spacing w:before="80"/>
            </w:pPr>
            <w:r>
              <w:rPr>
                <w:b/>
                <w:color w:val="FFFFFF"/>
              </w:rPr>
              <w:t>Strategic Objective</w:t>
            </w:r>
          </w:p>
        </w:tc>
        <w:tc>
          <w:tcPr>
            <w:tcW w:w="7866" w:type="dxa"/>
            <w:shd w:val="clear" w:color="auto" w:fill="1F4E79"/>
          </w:tcPr>
          <w:p w14:paraId="4301CC35" w14:textId="77777777" w:rsidR="00E86226" w:rsidRDefault="00E86226" w:rsidP="00576BA4">
            <w:pPr>
              <w:spacing w:before="80"/>
            </w:pPr>
            <w:r>
              <w:rPr>
                <w:b/>
                <w:color w:val="FFFFFF"/>
              </w:rPr>
              <w:t>Key Joint Force Supporting Tasks (1-10)</w:t>
            </w:r>
          </w:p>
        </w:tc>
      </w:tr>
      <w:tr w:rsidR="00E86226" w14:paraId="7430FD72" w14:textId="77777777" w:rsidTr="00E86226">
        <w:tc>
          <w:tcPr>
            <w:tcW w:w="2070" w:type="dxa"/>
          </w:tcPr>
          <w:p w14:paraId="2BAE566D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>1. Defend the U.S. Homeland</w:t>
            </w:r>
          </w:p>
        </w:tc>
        <w:tc>
          <w:tcPr>
            <w:tcW w:w="7866" w:type="dxa"/>
          </w:tcPr>
          <w:p w14:paraId="5A366797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 xml:space="preserve">Strengthen Homeland Defense: </w:t>
            </w:r>
            <w:r>
              <w:t>Modernize and integrate systems to protect our way of life against all-domain threats, prioritizing the PRC.</w:t>
            </w:r>
          </w:p>
        </w:tc>
      </w:tr>
      <w:tr w:rsidR="00E86226" w14:paraId="0DCCF83A" w14:textId="77777777" w:rsidTr="00E86226">
        <w:tc>
          <w:tcPr>
            <w:tcW w:w="2070" w:type="dxa"/>
            <w:shd w:val="clear" w:color="auto" w:fill="F9F9F9"/>
          </w:tcPr>
          <w:p w14:paraId="1677E658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>2. Deter Strategic Attacks</w:t>
            </w:r>
          </w:p>
        </w:tc>
        <w:tc>
          <w:tcPr>
            <w:tcW w:w="7866" w:type="dxa"/>
            <w:shd w:val="clear" w:color="auto" w:fill="F9F9F9"/>
          </w:tcPr>
          <w:p w14:paraId="10CC6F0D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 xml:space="preserve">Enhance Deterrence &amp; Reinforce Diplomacy: </w:t>
            </w:r>
            <w:r>
              <w:t>Develop capabilities that deter adversaries and provide leaders with credible options to interact from strength.</w:t>
            </w:r>
          </w:p>
        </w:tc>
      </w:tr>
      <w:tr w:rsidR="00E86226" w14:paraId="5C06DEF5" w14:textId="77777777" w:rsidTr="00E86226">
        <w:tc>
          <w:tcPr>
            <w:tcW w:w="2070" w:type="dxa"/>
          </w:tcPr>
          <w:p w14:paraId="0B5B8CE2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>3. Prevail in Conflict</w:t>
            </w:r>
          </w:p>
        </w:tc>
        <w:tc>
          <w:tcPr>
            <w:tcW w:w="7866" w:type="dxa"/>
          </w:tcPr>
          <w:p w14:paraId="52387C56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 xml:space="preserve">Prepare to Win &amp; Leverage Campaigning: </w:t>
            </w:r>
            <w:r>
              <w:t>Ensure a properly trained/resourced force capable of defeating the PRC in the Indo-Pacific, then Russia in Europe.</w:t>
            </w:r>
          </w:p>
        </w:tc>
      </w:tr>
      <w:tr w:rsidR="00E86226" w14:paraId="6AC20C37" w14:textId="77777777" w:rsidTr="00E86226">
        <w:tc>
          <w:tcPr>
            <w:tcW w:w="2070" w:type="dxa"/>
            <w:shd w:val="clear" w:color="auto" w:fill="F9F9F9"/>
          </w:tcPr>
          <w:p w14:paraId="0EA4568A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>4. Modernize &amp; Build Resilience</w:t>
            </w:r>
          </w:p>
        </w:tc>
        <w:tc>
          <w:tcPr>
            <w:tcW w:w="7866" w:type="dxa"/>
            <w:shd w:val="clear" w:color="auto" w:fill="F9F9F9"/>
          </w:tcPr>
          <w:p w14:paraId="5198B76F" w14:textId="77777777" w:rsidR="00E86226" w:rsidRDefault="00E86226" w:rsidP="00576BA4">
            <w:pPr>
              <w:spacing w:before="80"/>
            </w:pPr>
            <w:r>
              <w:rPr>
                <w:b/>
                <w:color w:val="1F4E79"/>
              </w:rPr>
              <w:t xml:space="preserve">Build Resilient Force &amp; Integrate Capabilities Rapidly: </w:t>
            </w:r>
            <w:r>
              <w:t>Refocus concepts/resources, strengthen relationships with allies/partners, and rapidly adopt new technologies.</w:t>
            </w:r>
          </w:p>
        </w:tc>
      </w:tr>
    </w:tbl>
    <w:p w14:paraId="14BF869F" w14:textId="77777777" w:rsidR="00297EE5" w:rsidRDefault="00297EE5" w:rsidP="00297EE5">
      <w:pPr>
        <w:pStyle w:val="Heading1"/>
      </w:pPr>
      <w:r>
        <w:t>IV. Reference Document</w:t>
      </w:r>
    </w:p>
    <w:p w14:paraId="129C5084" w14:textId="0604A744" w:rsidR="00297EE5" w:rsidRDefault="00297EE5" w:rsidP="00297EE5">
      <w:pPr>
        <w:pStyle w:val="ListBullet"/>
        <w:spacing w:after="40"/>
      </w:pPr>
      <w:r w:rsidRPr="00B975CF">
        <w:rPr>
          <w:b/>
        </w:rPr>
        <w:t>Official Link:</w:t>
      </w:r>
      <w:r w:rsidRPr="000B59FD">
        <w:rPr>
          <w:bCs/>
        </w:rPr>
        <w:t xml:space="preserve"> </w:t>
      </w:r>
      <w:hyperlink r:id="rId8" w:history="1">
        <w:r w:rsidR="00380AB0" w:rsidRPr="007C08F1">
          <w:rPr>
            <w:rStyle w:val="Hyperlink"/>
            <w:bCs/>
          </w:rPr>
          <w:t>https://www.jcs.mil/Portals/36/NMS%202022%20_%20Signed.pdf</w:t>
        </w:r>
      </w:hyperlink>
      <w:r w:rsidR="00380AB0">
        <w:rPr>
          <w:bCs/>
        </w:rPr>
        <w:t xml:space="preserve"> </w:t>
      </w:r>
    </w:p>
    <w:p w14:paraId="21B131A0" w14:textId="4CC282D2" w:rsidR="00947369" w:rsidRDefault="00947369" w:rsidP="00E86226">
      <w:pPr>
        <w:spacing w:before="400" w:after="0"/>
        <w:jc w:val="right"/>
      </w:pPr>
    </w:p>
    <w:sectPr w:rsidR="00947369" w:rsidSect="00034616">
      <w:headerReference w:type="default" r:id="rId9"/>
      <w:footerReference w:type="default" r:id="rId10"/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3875EC" w14:textId="77777777" w:rsidR="00FD3507" w:rsidRDefault="00FD3507" w:rsidP="000453D0">
      <w:pPr>
        <w:spacing w:after="0" w:line="240" w:lineRule="auto"/>
      </w:pPr>
      <w:r>
        <w:separator/>
      </w:r>
    </w:p>
  </w:endnote>
  <w:endnote w:type="continuationSeparator" w:id="0">
    <w:p w14:paraId="0A2AE5C9" w14:textId="77777777" w:rsidR="00FD3507" w:rsidRDefault="00FD3507" w:rsidP="00045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824A44" w14:textId="5B714FFB" w:rsidR="00EA5176" w:rsidRPr="00EA5176" w:rsidRDefault="00262322" w:rsidP="00EA5176">
    <w:pPr>
      <w:pStyle w:val="Footer"/>
    </w:pPr>
    <w:r>
      <w:t>DAFCGOC/PD/1-Pager/2026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D17F62" w14:textId="77777777" w:rsidR="00FD3507" w:rsidRDefault="00FD3507" w:rsidP="000453D0">
      <w:pPr>
        <w:spacing w:after="0" w:line="240" w:lineRule="auto"/>
      </w:pPr>
      <w:r>
        <w:separator/>
      </w:r>
    </w:p>
  </w:footnote>
  <w:footnote w:type="continuationSeparator" w:id="0">
    <w:p w14:paraId="48D7EBBE" w14:textId="77777777" w:rsidR="00FD3507" w:rsidRDefault="00FD3507" w:rsidP="000453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2953E1" w14:textId="692D7469" w:rsidR="000453D0" w:rsidRDefault="008D2396" w:rsidP="000453D0">
    <w:pPr>
      <w:spacing w:after="40"/>
      <w:jc w:val="center"/>
      <w:rPr>
        <w:b/>
        <w:color w:val="1F4E79"/>
        <w:sz w:val="36"/>
      </w:rPr>
    </w:pPr>
    <w:r w:rsidRPr="00C572B4">
      <w:rPr>
        <w:b/>
        <w:noProof/>
        <w:color w:val="002060"/>
        <w:sz w:val="30"/>
      </w:rPr>
      <w:drawing>
        <wp:anchor distT="0" distB="0" distL="114300" distR="114300" simplePos="0" relativeHeight="251658240" behindDoc="0" locked="0" layoutInCell="1" allowOverlap="1" wp14:anchorId="0FD7DD94" wp14:editId="34D43A04">
          <wp:simplePos x="0" y="0"/>
          <wp:positionH relativeFrom="column">
            <wp:posOffset>-314325</wp:posOffset>
          </wp:positionH>
          <wp:positionV relativeFrom="paragraph">
            <wp:posOffset>-228600</wp:posOffset>
          </wp:positionV>
          <wp:extent cx="1238250" cy="935866"/>
          <wp:effectExtent l="0" t="0" r="0" b="0"/>
          <wp:wrapNone/>
          <wp:docPr id="3" name="Picture 2" descr="Logo, company name&#10;&#10;AI-generated content may be incorrect.">
            <a:extLst xmlns:a="http://schemas.openxmlformats.org/drawingml/2006/main">
              <a:ext uri="{FF2B5EF4-FFF2-40B4-BE49-F238E27FC236}">
                <a16:creationId xmlns:a16="http://schemas.microsoft.com/office/drawing/2014/main" id="{904CCB89-6BC0-490E-31D5-25DEAE13C0AF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2" descr="Logo, company name&#10;&#10;AI-generated content may be incorrect.">
                    <a:extLst>
                      <a:ext uri="{FF2B5EF4-FFF2-40B4-BE49-F238E27FC236}">
                        <a16:creationId xmlns:a16="http://schemas.microsoft.com/office/drawing/2014/main" id="{904CCB89-6BC0-490E-31D5-25DEAE13C0AF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8250" cy="93586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0453D0">
      <w:rPr>
        <w:b/>
        <w:color w:val="1F4E79"/>
        <w:sz w:val="36"/>
      </w:rPr>
      <w:t>NATIONAL MILITARY STRATEGY (NMS)</w:t>
    </w:r>
  </w:p>
  <w:p w14:paraId="256A6C06" w14:textId="77777777" w:rsidR="009E4AF0" w:rsidRPr="009E4AF0" w:rsidRDefault="009E4AF0" w:rsidP="009E4AF0">
    <w:pPr>
      <w:spacing w:after="40"/>
      <w:jc w:val="center"/>
      <w:rPr>
        <w:b/>
        <w:color w:val="1F4E79"/>
        <w:sz w:val="24"/>
        <w:szCs w:val="24"/>
      </w:rPr>
    </w:pPr>
    <w:r w:rsidRPr="009E4AF0">
      <w:rPr>
        <w:b/>
        <w:color w:val="1F4E79"/>
        <w:sz w:val="24"/>
        <w:szCs w:val="24"/>
      </w:rPr>
      <w:t>Strategic Discipline: Adapting the Joint Force for a Decisive Decade</w:t>
    </w:r>
  </w:p>
  <w:p w14:paraId="37F1909E" w14:textId="77777777" w:rsidR="008D2396" w:rsidRDefault="008D2396" w:rsidP="000453D0">
    <w:pPr>
      <w:spacing w:after="40"/>
      <w:jc w:val="center"/>
    </w:pPr>
  </w:p>
  <w:p w14:paraId="7560A71F" w14:textId="77777777" w:rsidR="000453D0" w:rsidRDefault="000453D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18293031">
    <w:abstractNumId w:val="8"/>
  </w:num>
  <w:num w:numId="2" w16cid:durableId="1096753311">
    <w:abstractNumId w:val="6"/>
  </w:num>
  <w:num w:numId="3" w16cid:durableId="1920946277">
    <w:abstractNumId w:val="5"/>
  </w:num>
  <w:num w:numId="4" w16cid:durableId="401757069">
    <w:abstractNumId w:val="4"/>
  </w:num>
  <w:num w:numId="5" w16cid:durableId="1088892495">
    <w:abstractNumId w:val="7"/>
  </w:num>
  <w:num w:numId="6" w16cid:durableId="1248923337">
    <w:abstractNumId w:val="3"/>
  </w:num>
  <w:num w:numId="7" w16cid:durableId="1298532199">
    <w:abstractNumId w:val="2"/>
  </w:num>
  <w:num w:numId="8" w16cid:durableId="2007704557">
    <w:abstractNumId w:val="1"/>
  </w:num>
  <w:num w:numId="9" w16cid:durableId="12369326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12A1"/>
    <w:rsid w:val="000453D0"/>
    <w:rsid w:val="0006063C"/>
    <w:rsid w:val="000D4E8F"/>
    <w:rsid w:val="0011108A"/>
    <w:rsid w:val="0015074B"/>
    <w:rsid w:val="00262322"/>
    <w:rsid w:val="0029639D"/>
    <w:rsid w:val="00297EE5"/>
    <w:rsid w:val="00326F90"/>
    <w:rsid w:val="00380AB0"/>
    <w:rsid w:val="003C10D7"/>
    <w:rsid w:val="00875399"/>
    <w:rsid w:val="008D2396"/>
    <w:rsid w:val="00947369"/>
    <w:rsid w:val="009E4AF0"/>
    <w:rsid w:val="00AA1D8D"/>
    <w:rsid w:val="00B47730"/>
    <w:rsid w:val="00C26A8A"/>
    <w:rsid w:val="00CB0664"/>
    <w:rsid w:val="00E86226"/>
    <w:rsid w:val="00EA5176"/>
    <w:rsid w:val="00F730F8"/>
    <w:rsid w:val="00FC693F"/>
    <w:rsid w:val="00FD3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A68E849"/>
  <w14:defaultImageDpi w14:val="300"/>
  <w15:docId w15:val="{28638350-247E-42BA-AD78-38CD6CAD0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/>
    </w:pPr>
    <w:rPr>
      <w:rFonts w:ascii="Calibri" w:eastAsia="Calibri" w:hAnsi="Calibri"/>
      <w:color w:val="1F1F1F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00" w:after="60"/>
      <w:outlineLvl w:val="0"/>
    </w:pPr>
    <w:rPr>
      <w:rFonts w:asciiTheme="majorHAnsi" w:eastAsiaTheme="majorEastAsia" w:hAnsiTheme="majorHAnsi" w:cstheme="majorBidi"/>
      <w:b/>
      <w:bCs/>
      <w:color w:val="1F4E79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20" w:after="40"/>
      <w:outlineLvl w:val="1"/>
    </w:pPr>
    <w:rPr>
      <w:rFonts w:asciiTheme="majorHAnsi" w:eastAsiaTheme="majorEastAsia" w:hAnsiTheme="majorHAnsi" w:cstheme="majorBidi"/>
      <w:b/>
      <w:bCs/>
      <w:color w:val="4A6572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297EE5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80AB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jcs.mil/Portals/36/NMS%202022%20_%20Signed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adc8ff-f4a3-4a14-9c0d-84b4985de0d2}" enabled="1" method="Privileged" siteId="{8331b18d-2d87-48ef-a35f-ac8818ebf9b4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339</Words>
  <Characters>1936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2271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CHOPRA, HIMANSHU Capt USAF AMC 305 MXG/LXK</cp:lastModifiedBy>
  <cp:revision>11</cp:revision>
  <dcterms:created xsi:type="dcterms:W3CDTF">2026-06-05T02:24:00Z</dcterms:created>
  <dcterms:modified xsi:type="dcterms:W3CDTF">2026-10-15T13:56:00Z</dcterms:modified>
  <cp:category/>
</cp:coreProperties>
</file>